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A39E1" w14:textId="35AFBD1D" w:rsidR="007024B6" w:rsidRDefault="007024B6" w:rsidP="007024B6">
      <w:pPr>
        <w:spacing w:after="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Aufruf der Kultur- und Kreativwirtschaft zu MFF und Next Generation EU</w:t>
      </w:r>
    </w:p>
    <w:p w14:paraId="798D1D73" w14:textId="77777777" w:rsidR="007024B6" w:rsidRDefault="007024B6" w:rsidP="007024B6">
      <w:pPr>
        <w:spacing w:after="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14:paraId="2612D91B" w14:textId="1B6AC351" w:rsidR="001E71B2" w:rsidRPr="00DB3FD1" w:rsidRDefault="00845C16" w:rsidP="007024B6">
      <w:pPr>
        <w:spacing w:after="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235FA5C0">
        <w:rPr>
          <w:rFonts w:ascii="Franklin Gothic Book" w:hAnsi="Franklin Gothic Book"/>
          <w:b/>
          <w:bCs/>
          <w:sz w:val="24"/>
          <w:szCs w:val="24"/>
        </w:rPr>
        <w:t xml:space="preserve">Die </w:t>
      </w:r>
      <w:r w:rsidR="0097508D" w:rsidRPr="235FA5C0">
        <w:rPr>
          <w:rFonts w:ascii="Franklin Gothic Book" w:hAnsi="Franklin Gothic Book"/>
          <w:b/>
          <w:bCs/>
          <w:sz w:val="24"/>
          <w:szCs w:val="24"/>
        </w:rPr>
        <w:t xml:space="preserve">Kultur- und Kreativwirtschaft </w:t>
      </w:r>
      <w:r w:rsidRPr="235FA5C0">
        <w:rPr>
          <w:rFonts w:ascii="Franklin Gothic Book" w:hAnsi="Franklin Gothic Book"/>
          <w:b/>
          <w:bCs/>
          <w:sz w:val="24"/>
          <w:szCs w:val="24"/>
        </w:rPr>
        <w:t xml:space="preserve">muss als </w:t>
      </w:r>
      <w:r w:rsidR="3F4AF288" w:rsidRPr="235FA5C0">
        <w:rPr>
          <w:rFonts w:ascii="Franklin Gothic Book" w:hAnsi="Franklin Gothic Book"/>
          <w:b/>
          <w:bCs/>
          <w:sz w:val="24"/>
          <w:szCs w:val="24"/>
        </w:rPr>
        <w:t>treibende Kraft</w:t>
      </w:r>
      <w:r w:rsidR="0097508D" w:rsidRPr="235FA5C0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872625" w:rsidRPr="235FA5C0">
        <w:rPr>
          <w:rFonts w:ascii="Franklin Gothic Book" w:hAnsi="Franklin Gothic Book"/>
          <w:b/>
          <w:bCs/>
          <w:sz w:val="24"/>
          <w:szCs w:val="24"/>
        </w:rPr>
        <w:t xml:space="preserve">für die </w:t>
      </w:r>
      <w:r w:rsidR="0097508D" w:rsidRPr="235FA5C0">
        <w:rPr>
          <w:rFonts w:ascii="Franklin Gothic Book" w:hAnsi="Franklin Gothic Book"/>
          <w:b/>
          <w:bCs/>
          <w:sz w:val="24"/>
          <w:szCs w:val="24"/>
        </w:rPr>
        <w:t>Gesamtwirtschaft</w:t>
      </w:r>
      <w:r w:rsidRPr="235FA5C0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DB3FD1" w:rsidRPr="235FA5C0">
        <w:rPr>
          <w:rFonts w:ascii="Franklin Gothic Book" w:hAnsi="Franklin Gothic Book"/>
          <w:b/>
          <w:bCs/>
          <w:sz w:val="24"/>
          <w:szCs w:val="24"/>
        </w:rPr>
        <w:t xml:space="preserve">in alle EU-Förderprogramme und </w:t>
      </w:r>
      <w:r w:rsidRPr="235FA5C0">
        <w:rPr>
          <w:rFonts w:ascii="Franklin Gothic Book" w:hAnsi="Franklin Gothic Book"/>
          <w:b/>
          <w:bCs/>
          <w:sz w:val="24"/>
          <w:szCs w:val="24"/>
        </w:rPr>
        <w:t xml:space="preserve">nationalen </w:t>
      </w:r>
      <w:r w:rsidR="0097508D" w:rsidRPr="235FA5C0">
        <w:rPr>
          <w:rFonts w:ascii="Franklin Gothic Book" w:hAnsi="Franklin Gothic Book"/>
          <w:b/>
          <w:bCs/>
          <w:sz w:val="24"/>
          <w:szCs w:val="24"/>
        </w:rPr>
        <w:t>Aufbaup</w:t>
      </w:r>
      <w:r w:rsidRPr="235FA5C0">
        <w:rPr>
          <w:rFonts w:ascii="Franklin Gothic Book" w:hAnsi="Franklin Gothic Book"/>
          <w:b/>
          <w:bCs/>
          <w:sz w:val="24"/>
          <w:szCs w:val="24"/>
        </w:rPr>
        <w:t>rogramme aufgenommen werden</w:t>
      </w:r>
    </w:p>
    <w:p w14:paraId="2D379337" w14:textId="1962303C" w:rsidR="00F60E43" w:rsidRDefault="00F60E43" w:rsidP="0009171D">
      <w:pPr>
        <w:rPr>
          <w:rFonts w:ascii="Franklin Gothic Book" w:hAnsi="Franklin Gothic Book"/>
        </w:rPr>
      </w:pPr>
    </w:p>
    <w:p w14:paraId="1FF3A23D" w14:textId="5BC04A67" w:rsidR="00FE3ABF" w:rsidRPr="00845C16" w:rsidRDefault="0009171D" w:rsidP="0009171D">
      <w:pPr>
        <w:rPr>
          <w:rFonts w:ascii="Franklin Gothic Book" w:hAnsi="Franklin Gothic Book"/>
        </w:rPr>
      </w:pPr>
      <w:r w:rsidRPr="00845C16">
        <w:rPr>
          <w:rFonts w:ascii="Franklin Gothic Book" w:hAnsi="Franklin Gothic Book"/>
        </w:rPr>
        <w:t>Die Kultur- und Kreativwirtschaft erwirtschaftet 4,4% des EU-GDP und sorgt für 12 Millionen Arbeitsplätze. Laut einer Schätzung der Europäischen Kommission</w:t>
      </w:r>
      <w:r w:rsidRPr="00845C16">
        <w:rPr>
          <w:rStyle w:val="Funotenzeichen"/>
          <w:rFonts w:ascii="Franklin Gothic Book" w:hAnsi="Franklin Gothic Book"/>
        </w:rPr>
        <w:footnoteReference w:id="1"/>
      </w:r>
      <w:r w:rsidRPr="00845C16">
        <w:rPr>
          <w:rFonts w:ascii="Franklin Gothic Book" w:hAnsi="Franklin Gothic Book"/>
        </w:rPr>
        <w:t xml:space="preserve"> </w:t>
      </w:r>
      <w:r w:rsidR="00053C50" w:rsidRPr="00845C16">
        <w:rPr>
          <w:rFonts w:ascii="Franklin Gothic Book" w:hAnsi="Franklin Gothic Book"/>
        </w:rPr>
        <w:t>ist dieser Sektor strukturell unterfinanziert. B</w:t>
      </w:r>
      <w:r w:rsidRPr="00845C16">
        <w:rPr>
          <w:rFonts w:ascii="Franklin Gothic Book" w:hAnsi="Franklin Gothic Book"/>
        </w:rPr>
        <w:t xml:space="preserve">esonders kleinere und mittlere Unternehmen der Kultur- und Kreativwirtschaft </w:t>
      </w:r>
      <w:r w:rsidR="00053C50" w:rsidRPr="00845C16">
        <w:rPr>
          <w:rFonts w:ascii="Franklin Gothic Book" w:hAnsi="Franklin Gothic Book"/>
        </w:rPr>
        <w:t xml:space="preserve">benötigen </w:t>
      </w:r>
      <w:r w:rsidRPr="00845C16">
        <w:rPr>
          <w:rFonts w:ascii="Franklin Gothic Book" w:hAnsi="Franklin Gothic Book"/>
        </w:rPr>
        <w:t>zwischen €</w:t>
      </w:r>
      <w:r w:rsidR="0F008852" w:rsidRPr="00845C16">
        <w:rPr>
          <w:rFonts w:ascii="Franklin Gothic Book" w:hAnsi="Franklin Gothic Book"/>
        </w:rPr>
        <w:t xml:space="preserve"> </w:t>
      </w:r>
      <w:r w:rsidRPr="00845C16">
        <w:rPr>
          <w:rFonts w:ascii="Franklin Gothic Book" w:hAnsi="Franklin Gothic Book"/>
        </w:rPr>
        <w:t>8 Milliarden und €</w:t>
      </w:r>
      <w:r w:rsidR="260E0A6D" w:rsidRPr="00845C16">
        <w:rPr>
          <w:rFonts w:ascii="Franklin Gothic Book" w:hAnsi="Franklin Gothic Book"/>
        </w:rPr>
        <w:t xml:space="preserve"> </w:t>
      </w:r>
      <w:r w:rsidRPr="00845C16">
        <w:rPr>
          <w:rFonts w:ascii="Franklin Gothic Book" w:hAnsi="Franklin Gothic Book"/>
        </w:rPr>
        <w:t>13 Milliarden</w:t>
      </w:r>
      <w:r w:rsidR="00053C50" w:rsidRPr="00845C16">
        <w:rPr>
          <w:rFonts w:ascii="Franklin Gothic Book" w:hAnsi="Franklin Gothic Book"/>
        </w:rPr>
        <w:t>, um diese Finanzlücke zu schließen</w:t>
      </w:r>
      <w:r w:rsidRPr="00845C16">
        <w:rPr>
          <w:rFonts w:ascii="Franklin Gothic Book" w:hAnsi="Franklin Gothic Book"/>
        </w:rPr>
        <w:t>.</w:t>
      </w:r>
      <w:r w:rsidR="00F60E43">
        <w:rPr>
          <w:rFonts w:ascii="Franklin Gothic Book" w:hAnsi="Franklin Gothic Book"/>
        </w:rPr>
        <w:t xml:space="preserve"> Kultur stiftet Zusammenhalt, das Credo der kulturellen Vielfalt eint Europa. Dies gilt es in Zukunft angemessen zu finanzieren.</w:t>
      </w:r>
    </w:p>
    <w:p w14:paraId="04EC767E" w14:textId="6CAE7D81" w:rsidR="003C1FF6" w:rsidRPr="00845C16" w:rsidRDefault="003C1FF6" w:rsidP="0009171D">
      <w:pPr>
        <w:rPr>
          <w:rFonts w:ascii="Franklin Gothic Book" w:hAnsi="Franklin Gothic Book"/>
        </w:rPr>
      </w:pPr>
      <w:bookmarkStart w:id="0" w:name="_Hlk54279207"/>
      <w:r w:rsidRPr="00845C16">
        <w:rPr>
          <w:rFonts w:ascii="Franklin Gothic Book" w:hAnsi="Franklin Gothic Book"/>
        </w:rPr>
        <w:t>Die Investitionen in die Kultur</w:t>
      </w:r>
      <w:r w:rsidR="00211FAF" w:rsidRPr="00845C16">
        <w:rPr>
          <w:rFonts w:ascii="Franklin Gothic Book" w:hAnsi="Franklin Gothic Book"/>
        </w:rPr>
        <w:t>-</w:t>
      </w:r>
      <w:r w:rsidRPr="00845C16">
        <w:rPr>
          <w:rFonts w:ascii="Franklin Gothic Book" w:hAnsi="Franklin Gothic Book"/>
        </w:rPr>
        <w:t xml:space="preserve"> und Kreativwirtschaft sorgen für einen Aufschwung in der Gesamtwirtschaft. Denn der Umsatzmultiplikator </w:t>
      </w:r>
      <w:r w:rsidR="00211FAF" w:rsidRPr="00845C16">
        <w:rPr>
          <w:rFonts w:ascii="Franklin Gothic Book" w:hAnsi="Franklin Gothic Book"/>
        </w:rPr>
        <w:t>d</w:t>
      </w:r>
      <w:r w:rsidR="7F4867DC" w:rsidRPr="00845C16">
        <w:rPr>
          <w:rFonts w:ascii="Franklin Gothic Book" w:hAnsi="Franklin Gothic Book"/>
        </w:rPr>
        <w:t>i</w:t>
      </w:r>
      <w:r w:rsidR="00211FAF" w:rsidRPr="00845C16">
        <w:rPr>
          <w:rFonts w:ascii="Franklin Gothic Book" w:hAnsi="Franklin Gothic Book"/>
        </w:rPr>
        <w:t>e</w:t>
      </w:r>
      <w:r w:rsidR="2FD3E89E" w:rsidRPr="00845C16">
        <w:rPr>
          <w:rFonts w:ascii="Franklin Gothic Book" w:hAnsi="Franklin Gothic Book"/>
        </w:rPr>
        <w:t>s</w:t>
      </w:r>
      <w:r w:rsidR="031D76AC" w:rsidRPr="00845C16">
        <w:rPr>
          <w:rFonts w:ascii="Franklin Gothic Book" w:hAnsi="Franklin Gothic Book"/>
        </w:rPr>
        <w:t>es</w:t>
      </w:r>
      <w:r w:rsidR="2FD3E89E" w:rsidRPr="00845C16">
        <w:rPr>
          <w:rFonts w:ascii="Franklin Gothic Book" w:hAnsi="Franklin Gothic Book"/>
        </w:rPr>
        <w:t xml:space="preserve"> Sektors </w:t>
      </w:r>
      <w:r w:rsidR="595472CA" w:rsidRPr="7ED06C87">
        <w:rPr>
          <w:rFonts w:ascii="Franklin Gothic Book" w:hAnsi="Franklin Gothic Book"/>
        </w:rPr>
        <w:t xml:space="preserve">in andere Branchen </w:t>
      </w:r>
      <w:r w:rsidR="00211FAF" w:rsidRPr="00845C16">
        <w:rPr>
          <w:rFonts w:ascii="Franklin Gothic Book" w:hAnsi="Franklin Gothic Book"/>
        </w:rPr>
        <w:t xml:space="preserve">ist </w:t>
      </w:r>
      <w:r w:rsidRPr="00845C16">
        <w:rPr>
          <w:rFonts w:ascii="Franklin Gothic Book" w:hAnsi="Franklin Gothic Book"/>
        </w:rPr>
        <w:t xml:space="preserve">höher als beispielsweise </w:t>
      </w:r>
      <w:r w:rsidR="00211FAF" w:rsidRPr="00845C16">
        <w:rPr>
          <w:rFonts w:ascii="Franklin Gothic Book" w:hAnsi="Franklin Gothic Book"/>
        </w:rPr>
        <w:t xml:space="preserve">bei </w:t>
      </w:r>
      <w:r w:rsidRPr="00845C16">
        <w:rPr>
          <w:rFonts w:ascii="Franklin Gothic Book" w:hAnsi="Franklin Gothic Book"/>
        </w:rPr>
        <w:t>der Pharma- oder Chemiebranche</w:t>
      </w:r>
      <w:r w:rsidR="00211FAF" w:rsidRPr="00845C16">
        <w:rPr>
          <w:rStyle w:val="Funotenzeichen"/>
          <w:rFonts w:ascii="Franklin Gothic Book" w:hAnsi="Franklin Gothic Book"/>
        </w:rPr>
        <w:footnoteReference w:id="2"/>
      </w:r>
      <w:r w:rsidRPr="00845C16">
        <w:rPr>
          <w:rFonts w:ascii="Franklin Gothic Book" w:hAnsi="Franklin Gothic Book"/>
        </w:rPr>
        <w:t>. Dieses Potenzial sollte bei der Investitionsoffensive von EU und Mitgliedstaaten genutzt werden.</w:t>
      </w:r>
    </w:p>
    <w:bookmarkEnd w:id="0"/>
    <w:p w14:paraId="686481D6" w14:textId="52093A15" w:rsidR="00081B2F" w:rsidRPr="00845C16" w:rsidRDefault="008A60E1" w:rsidP="001E71B2">
      <w:pPr>
        <w:rPr>
          <w:rFonts w:ascii="Franklin Gothic Book" w:hAnsi="Franklin Gothic Book"/>
        </w:rPr>
      </w:pPr>
      <w:r w:rsidRPr="00845C16">
        <w:rPr>
          <w:rFonts w:ascii="Franklin Gothic Book" w:hAnsi="Franklin Gothic Book"/>
        </w:rPr>
        <w:t xml:space="preserve">Ein wichtiges wirtschaftliches EU-Förderprogramm für die Jahre 2021-2027 wird das derzeit verhandelte </w:t>
      </w:r>
      <w:proofErr w:type="spellStart"/>
      <w:r w:rsidRPr="00845C16">
        <w:rPr>
          <w:rFonts w:ascii="Franklin Gothic Book" w:hAnsi="Franklin Gothic Book"/>
          <w:b/>
          <w:bCs/>
        </w:rPr>
        <w:t>InvestEU</w:t>
      </w:r>
      <w:proofErr w:type="spellEnd"/>
      <w:r w:rsidRPr="00845C16">
        <w:rPr>
          <w:rFonts w:ascii="Franklin Gothic Book" w:hAnsi="Franklin Gothic Book"/>
          <w:b/>
          <w:bCs/>
        </w:rPr>
        <w:t>-Programm</w:t>
      </w:r>
      <w:r w:rsidRPr="00845C16">
        <w:rPr>
          <w:rFonts w:ascii="Franklin Gothic Book" w:hAnsi="Franklin Gothic Book"/>
        </w:rPr>
        <w:t xml:space="preserve"> sein. </w:t>
      </w:r>
      <w:r w:rsidR="001E71B2" w:rsidRPr="00845C16">
        <w:rPr>
          <w:rFonts w:ascii="Franklin Gothic Book" w:hAnsi="Franklin Gothic Book"/>
        </w:rPr>
        <w:t xml:space="preserve">Die unterzeichnenden Verbände der Kultur- und Kreativwirtschaft sehen mit Besorgnis, dass die Mittel für das Investitionsprogramm </w:t>
      </w:r>
      <w:proofErr w:type="spellStart"/>
      <w:r w:rsidR="001E71B2" w:rsidRPr="00845C16">
        <w:rPr>
          <w:rFonts w:ascii="Franklin Gothic Book" w:hAnsi="Franklin Gothic Book"/>
        </w:rPr>
        <w:t>InvestEU</w:t>
      </w:r>
      <w:proofErr w:type="spellEnd"/>
      <w:r w:rsidR="001E71B2" w:rsidRPr="00845C16">
        <w:rPr>
          <w:rFonts w:ascii="Franklin Gothic Book" w:hAnsi="Franklin Gothic Book"/>
        </w:rPr>
        <w:t xml:space="preserve"> drastisch gekürzt werden sollen.</w:t>
      </w:r>
      <w:r w:rsidR="0009171D" w:rsidRPr="00845C16">
        <w:rPr>
          <w:rFonts w:ascii="Franklin Gothic Book" w:hAnsi="Franklin Gothic Book"/>
        </w:rPr>
        <w:t xml:space="preserve"> </w:t>
      </w:r>
      <w:r w:rsidR="001E71B2" w:rsidRPr="00845C16">
        <w:rPr>
          <w:rFonts w:ascii="Franklin Gothic Book" w:hAnsi="Franklin Gothic Book"/>
        </w:rPr>
        <w:t xml:space="preserve">Für </w:t>
      </w:r>
      <w:r w:rsidR="00053C50" w:rsidRPr="00845C16">
        <w:rPr>
          <w:rFonts w:ascii="Franklin Gothic Book" w:hAnsi="Franklin Gothic Book"/>
        </w:rPr>
        <w:t xml:space="preserve">unsere Branche </w:t>
      </w:r>
      <w:r w:rsidR="001E71B2" w:rsidRPr="00845C16">
        <w:rPr>
          <w:rFonts w:ascii="Franklin Gothic Book" w:hAnsi="Franklin Gothic Book"/>
        </w:rPr>
        <w:t xml:space="preserve">ist ein gut ausgestattetes Investitionsprogramm, das </w:t>
      </w:r>
      <w:r w:rsidR="0009171D" w:rsidRPr="00845C16">
        <w:rPr>
          <w:rFonts w:ascii="Franklin Gothic Book" w:hAnsi="Franklin Gothic Book"/>
        </w:rPr>
        <w:t xml:space="preserve">auch </w:t>
      </w:r>
      <w:r w:rsidR="001E71B2" w:rsidRPr="00845C16">
        <w:rPr>
          <w:rFonts w:ascii="Franklin Gothic Book" w:hAnsi="Franklin Gothic Book"/>
        </w:rPr>
        <w:t>Zugang zu Kredit- und Private</w:t>
      </w:r>
      <w:r w:rsidR="00053C50" w:rsidRPr="00845C16">
        <w:rPr>
          <w:rFonts w:ascii="Franklin Gothic Book" w:hAnsi="Franklin Gothic Book"/>
        </w:rPr>
        <w:t>-</w:t>
      </w:r>
      <w:r w:rsidR="001E71B2" w:rsidRPr="00845C16">
        <w:rPr>
          <w:rFonts w:ascii="Franklin Gothic Book" w:hAnsi="Franklin Gothic Book"/>
        </w:rPr>
        <w:t>Equity-Finanzierung eröffnet, von herausragender Bedeutung.</w:t>
      </w:r>
      <w:r w:rsidR="00081B2F" w:rsidRPr="00845C16">
        <w:rPr>
          <w:rFonts w:ascii="Franklin Gothic Book" w:hAnsi="Franklin Gothic Book"/>
        </w:rPr>
        <w:t xml:space="preserve"> </w:t>
      </w:r>
    </w:p>
    <w:p w14:paraId="2FAC5A5D" w14:textId="2CC6EDFD" w:rsidR="00FE3ABF" w:rsidRPr="00845C16" w:rsidRDefault="001E71B2" w:rsidP="001E71B2">
      <w:pPr>
        <w:rPr>
          <w:rFonts w:ascii="Franklin Gothic Book" w:hAnsi="Franklin Gothic Book"/>
        </w:rPr>
      </w:pPr>
      <w:r w:rsidRPr="00845C16">
        <w:rPr>
          <w:rFonts w:ascii="Franklin Gothic Book" w:hAnsi="Franklin Gothic Book"/>
          <w:b/>
          <w:bCs/>
        </w:rPr>
        <w:t xml:space="preserve">Wir unterstützen </w:t>
      </w:r>
      <w:r w:rsidR="00650148" w:rsidRPr="00845C16">
        <w:rPr>
          <w:rFonts w:ascii="Franklin Gothic Book" w:hAnsi="Franklin Gothic Book"/>
          <w:b/>
          <w:bCs/>
        </w:rPr>
        <w:t xml:space="preserve">daher </w:t>
      </w:r>
      <w:r w:rsidRPr="00845C16">
        <w:rPr>
          <w:rFonts w:ascii="Franklin Gothic Book" w:hAnsi="Franklin Gothic Book"/>
          <w:b/>
          <w:bCs/>
        </w:rPr>
        <w:t xml:space="preserve">die </w:t>
      </w:r>
      <w:r w:rsidR="0009171D" w:rsidRPr="00845C16">
        <w:rPr>
          <w:rFonts w:ascii="Franklin Gothic Book" w:hAnsi="Franklin Gothic Book"/>
          <w:b/>
          <w:bCs/>
        </w:rPr>
        <w:t>Änderungsv</w:t>
      </w:r>
      <w:r w:rsidRPr="00845C16">
        <w:rPr>
          <w:rFonts w:ascii="Franklin Gothic Book" w:hAnsi="Franklin Gothic Book"/>
          <w:b/>
          <w:bCs/>
        </w:rPr>
        <w:t>orschläge de</w:t>
      </w:r>
      <w:r w:rsidR="0009171D" w:rsidRPr="00845C16">
        <w:rPr>
          <w:rFonts w:ascii="Franklin Gothic Book" w:hAnsi="Franklin Gothic Book"/>
          <w:b/>
          <w:bCs/>
        </w:rPr>
        <w:t>s Industrie- und Kulturausschusses im Europäischen Parlament</w:t>
      </w:r>
      <w:r w:rsidRPr="00845C16">
        <w:rPr>
          <w:rFonts w:ascii="Franklin Gothic Book" w:hAnsi="Franklin Gothic Book"/>
          <w:b/>
          <w:bCs/>
        </w:rPr>
        <w:t xml:space="preserve">, </w:t>
      </w:r>
      <w:r w:rsidR="0009171D" w:rsidRPr="00845C16">
        <w:rPr>
          <w:rFonts w:ascii="Franklin Gothic Book" w:hAnsi="Franklin Gothic Book"/>
          <w:b/>
          <w:bCs/>
        </w:rPr>
        <w:t xml:space="preserve">die Kultur- und Kreativwirtschaft </w:t>
      </w:r>
      <w:r w:rsidRPr="00845C16">
        <w:rPr>
          <w:rFonts w:ascii="Franklin Gothic Book" w:hAnsi="Franklin Gothic Book"/>
          <w:b/>
          <w:bCs/>
        </w:rPr>
        <w:t xml:space="preserve">explizit in das </w:t>
      </w:r>
      <w:proofErr w:type="spellStart"/>
      <w:r w:rsidRPr="00845C16">
        <w:rPr>
          <w:rFonts w:ascii="Franklin Gothic Book" w:hAnsi="Franklin Gothic Book"/>
          <w:b/>
          <w:bCs/>
        </w:rPr>
        <w:t>InvestEU</w:t>
      </w:r>
      <w:proofErr w:type="spellEnd"/>
      <w:r w:rsidRPr="00845C16">
        <w:rPr>
          <w:rFonts w:ascii="Franklin Gothic Book" w:hAnsi="Franklin Gothic Book"/>
          <w:b/>
          <w:bCs/>
        </w:rPr>
        <w:t>-Programm ein</w:t>
      </w:r>
      <w:r w:rsidR="00650148" w:rsidRPr="00845C16">
        <w:rPr>
          <w:rFonts w:ascii="Franklin Gothic Book" w:hAnsi="Franklin Gothic Book"/>
          <w:b/>
          <w:bCs/>
        </w:rPr>
        <w:t>zu</w:t>
      </w:r>
      <w:r w:rsidRPr="00845C16">
        <w:rPr>
          <w:rFonts w:ascii="Franklin Gothic Book" w:hAnsi="Franklin Gothic Book"/>
          <w:b/>
          <w:bCs/>
        </w:rPr>
        <w:t>beziehen.</w:t>
      </w:r>
      <w:r w:rsidR="00FE3ABF" w:rsidRPr="00845C16">
        <w:rPr>
          <w:rFonts w:ascii="Franklin Gothic Book" w:hAnsi="Franklin Gothic Book"/>
        </w:rPr>
        <w:t xml:space="preserve"> </w:t>
      </w:r>
      <w:r w:rsidR="00053C50" w:rsidRPr="00845C16">
        <w:rPr>
          <w:rFonts w:ascii="Franklin Gothic Book" w:hAnsi="Franklin Gothic Book"/>
        </w:rPr>
        <w:t xml:space="preserve">Gemeinsam rufen wir dazu auf, dass die Kultur- und Kreativwirtschaft mit ausreichend Mitteln ausgestattet wird. </w:t>
      </w:r>
      <w:r w:rsidR="00613D8A" w:rsidRPr="00845C16">
        <w:rPr>
          <w:rFonts w:ascii="Franklin Gothic Book" w:hAnsi="Franklin Gothic Book"/>
        </w:rPr>
        <w:t xml:space="preserve">Das </w:t>
      </w:r>
      <w:proofErr w:type="spellStart"/>
      <w:r w:rsidR="00613D8A" w:rsidRPr="00845C16">
        <w:rPr>
          <w:rFonts w:ascii="Franklin Gothic Book" w:hAnsi="Franklin Gothic Book"/>
        </w:rPr>
        <w:t>InvestEU</w:t>
      </w:r>
      <w:proofErr w:type="spellEnd"/>
      <w:r w:rsidR="00613D8A" w:rsidRPr="00845C16">
        <w:rPr>
          <w:rFonts w:ascii="Franklin Gothic Book" w:hAnsi="Franklin Gothic Book"/>
        </w:rPr>
        <w:t xml:space="preserve">-Programm sollte einen bestimmten Prozentsatz für </w:t>
      </w:r>
      <w:r w:rsidR="00053C50" w:rsidRPr="00845C16">
        <w:rPr>
          <w:rFonts w:ascii="Franklin Gothic Book" w:hAnsi="Franklin Gothic Book"/>
        </w:rPr>
        <w:t>den Kreativsektor</w:t>
      </w:r>
      <w:r w:rsidR="00613D8A" w:rsidRPr="00845C16">
        <w:rPr>
          <w:rFonts w:ascii="Franklin Gothic Book" w:hAnsi="Franklin Gothic Book"/>
        </w:rPr>
        <w:t xml:space="preserve">, mindestens aber ein Budget in Höhe der ursprünglichen Cultural and Creative </w:t>
      </w:r>
      <w:proofErr w:type="spellStart"/>
      <w:r w:rsidR="00613D8A" w:rsidRPr="00845C16">
        <w:rPr>
          <w:rFonts w:ascii="Franklin Gothic Book" w:hAnsi="Franklin Gothic Book"/>
        </w:rPr>
        <w:t>Sector</w:t>
      </w:r>
      <w:proofErr w:type="spellEnd"/>
      <w:r w:rsidR="00613D8A" w:rsidRPr="00845C16">
        <w:rPr>
          <w:rFonts w:ascii="Franklin Gothic Book" w:hAnsi="Franklin Gothic Book"/>
        </w:rPr>
        <w:t xml:space="preserve"> </w:t>
      </w:r>
      <w:proofErr w:type="spellStart"/>
      <w:r w:rsidR="00613D8A" w:rsidRPr="00845C16">
        <w:rPr>
          <w:rFonts w:ascii="Franklin Gothic Book" w:hAnsi="Franklin Gothic Book"/>
        </w:rPr>
        <w:t>Guarantee</w:t>
      </w:r>
      <w:proofErr w:type="spellEnd"/>
      <w:r w:rsidR="00613D8A" w:rsidRPr="00845C16">
        <w:rPr>
          <w:rFonts w:ascii="Franklin Gothic Book" w:hAnsi="Franklin Gothic Book"/>
        </w:rPr>
        <w:t xml:space="preserve"> Facility (CCS GF) vorsehen. Denn die </w:t>
      </w:r>
      <w:r w:rsidRPr="00845C16">
        <w:rPr>
          <w:rFonts w:ascii="Franklin Gothic Book" w:hAnsi="Franklin Gothic Book"/>
        </w:rPr>
        <w:t xml:space="preserve">CCS GF </w:t>
      </w:r>
      <w:r w:rsidR="00613D8A" w:rsidRPr="00845C16">
        <w:rPr>
          <w:rFonts w:ascii="Franklin Gothic Book" w:hAnsi="Franklin Gothic Book"/>
        </w:rPr>
        <w:t xml:space="preserve">hat sich in zahlreichen Mitgliedstaaten als Erfolgsmodell erwiesen. Sie wurde aus dem </w:t>
      </w:r>
      <w:r w:rsidRPr="00845C16">
        <w:rPr>
          <w:rFonts w:ascii="Franklin Gothic Book" w:hAnsi="Franklin Gothic Book"/>
        </w:rPr>
        <w:t>Creative</w:t>
      </w:r>
      <w:r w:rsidR="00613D8A" w:rsidRPr="00845C16">
        <w:rPr>
          <w:rFonts w:ascii="Franklin Gothic Book" w:hAnsi="Franklin Gothic Book"/>
        </w:rPr>
        <w:t>-</w:t>
      </w:r>
      <w:r w:rsidRPr="00845C16">
        <w:rPr>
          <w:rFonts w:ascii="Franklin Gothic Book" w:hAnsi="Franklin Gothic Book"/>
        </w:rPr>
        <w:t>Europe</w:t>
      </w:r>
      <w:r w:rsidR="00613D8A" w:rsidRPr="00845C16">
        <w:rPr>
          <w:rFonts w:ascii="Franklin Gothic Book" w:hAnsi="Franklin Gothic Book"/>
        </w:rPr>
        <w:t xml:space="preserve">-Programm ausgegliedert und soll nun im </w:t>
      </w:r>
      <w:proofErr w:type="spellStart"/>
      <w:r w:rsidRPr="00845C16">
        <w:rPr>
          <w:rFonts w:ascii="Franklin Gothic Book" w:hAnsi="Franklin Gothic Book"/>
        </w:rPr>
        <w:t>InvestEU</w:t>
      </w:r>
      <w:proofErr w:type="spellEnd"/>
      <w:r w:rsidR="00613D8A" w:rsidRPr="00845C16">
        <w:rPr>
          <w:rFonts w:ascii="Franklin Gothic Book" w:hAnsi="Franklin Gothic Book"/>
        </w:rPr>
        <w:t>-Programm fortgeführt werden.</w:t>
      </w:r>
      <w:r w:rsidR="00613D8A" w:rsidRPr="00845C16">
        <w:rPr>
          <w:rStyle w:val="Funotenzeichen"/>
          <w:rFonts w:ascii="Franklin Gothic Book" w:hAnsi="Franklin Gothic Book"/>
        </w:rPr>
        <w:footnoteReference w:id="3"/>
      </w:r>
      <w:r w:rsidR="00613D8A" w:rsidRPr="00845C16">
        <w:rPr>
          <w:rFonts w:ascii="Franklin Gothic Book" w:hAnsi="Franklin Gothic Book"/>
        </w:rPr>
        <w:t xml:space="preserve"> </w:t>
      </w:r>
    </w:p>
    <w:p w14:paraId="4A4DF91D" w14:textId="405C5A2D" w:rsidR="00613D8A" w:rsidRPr="00845C16" w:rsidRDefault="00635AEE" w:rsidP="001E71B2">
      <w:pPr>
        <w:rPr>
          <w:rFonts w:ascii="Franklin Gothic Book" w:hAnsi="Franklin Gothic Book"/>
        </w:rPr>
      </w:pPr>
      <w:r w:rsidRPr="235FA5C0">
        <w:rPr>
          <w:rFonts w:ascii="Franklin Gothic Book" w:hAnsi="Franklin Gothic Book"/>
        </w:rPr>
        <w:t>Für Mitgliedstaaten wie Deutschland, in denen die CCS GF kaum genutzt w</w:t>
      </w:r>
      <w:r w:rsidR="008A60E1" w:rsidRPr="235FA5C0">
        <w:rPr>
          <w:rFonts w:ascii="Franklin Gothic Book" w:hAnsi="Franklin Gothic Book"/>
        </w:rPr>
        <w:t>ird</w:t>
      </w:r>
      <w:r w:rsidRPr="235FA5C0">
        <w:rPr>
          <w:rFonts w:ascii="Franklin Gothic Book" w:hAnsi="Franklin Gothic Book"/>
        </w:rPr>
        <w:t>, sollte eine alternative Förderung der Kultur</w:t>
      </w:r>
      <w:r w:rsidR="0009171D" w:rsidRPr="235FA5C0">
        <w:rPr>
          <w:rFonts w:ascii="Franklin Gothic Book" w:hAnsi="Franklin Gothic Book"/>
        </w:rPr>
        <w:t>-</w:t>
      </w:r>
      <w:r w:rsidR="00FE3ABF" w:rsidRPr="235FA5C0">
        <w:rPr>
          <w:rFonts w:ascii="Franklin Gothic Book" w:hAnsi="Franklin Gothic Book"/>
        </w:rPr>
        <w:t xml:space="preserve"> </w:t>
      </w:r>
      <w:r w:rsidRPr="235FA5C0">
        <w:rPr>
          <w:rFonts w:ascii="Franklin Gothic Book" w:hAnsi="Franklin Gothic Book"/>
        </w:rPr>
        <w:t>und Kreativwirtschaft über ein Aufstocken bestehender oder über neu zu etablierende</w:t>
      </w:r>
      <w:r w:rsidR="445558F9" w:rsidRPr="235FA5C0">
        <w:rPr>
          <w:rFonts w:ascii="Franklin Gothic Book" w:hAnsi="Franklin Gothic Book"/>
        </w:rPr>
        <w:t xml:space="preserve"> Programme möglich sein, </w:t>
      </w:r>
      <w:r w:rsidR="42FD3369" w:rsidRPr="235FA5C0">
        <w:rPr>
          <w:rFonts w:ascii="Franklin Gothic Book" w:hAnsi="Franklin Gothic Book"/>
        </w:rPr>
        <w:t xml:space="preserve">die auch </w:t>
      </w:r>
      <w:r w:rsidR="283F6768" w:rsidRPr="235FA5C0">
        <w:rPr>
          <w:rFonts w:ascii="Franklin Gothic Book" w:hAnsi="Franklin Gothic Book"/>
        </w:rPr>
        <w:t>Covid</w:t>
      </w:r>
      <w:r w:rsidR="000E6B3D">
        <w:rPr>
          <w:rFonts w:ascii="Franklin Gothic Book" w:hAnsi="Franklin Gothic Book"/>
        </w:rPr>
        <w:t>-</w:t>
      </w:r>
      <w:r w:rsidR="283F6768" w:rsidRPr="235FA5C0">
        <w:rPr>
          <w:rFonts w:ascii="Franklin Gothic Book" w:hAnsi="Franklin Gothic Book"/>
        </w:rPr>
        <w:t>19</w:t>
      </w:r>
      <w:r w:rsidR="000E6B3D">
        <w:rPr>
          <w:rFonts w:ascii="Franklin Gothic Book" w:hAnsi="Franklin Gothic Book"/>
        </w:rPr>
        <w:t>-</w:t>
      </w:r>
      <w:r w:rsidR="283F6768" w:rsidRPr="235FA5C0">
        <w:rPr>
          <w:rFonts w:ascii="Franklin Gothic Book" w:hAnsi="Franklin Gothic Book"/>
        </w:rPr>
        <w:t>Pandemie</w:t>
      </w:r>
      <w:r w:rsidR="000E6B3D">
        <w:rPr>
          <w:rFonts w:ascii="Franklin Gothic Book" w:hAnsi="Franklin Gothic Book"/>
        </w:rPr>
        <w:t xml:space="preserve">-bedingte </w:t>
      </w:r>
      <w:r w:rsidR="283F6768" w:rsidRPr="235FA5C0">
        <w:rPr>
          <w:rFonts w:ascii="Franklin Gothic Book" w:hAnsi="Franklin Gothic Book"/>
        </w:rPr>
        <w:t xml:space="preserve">Bedürfnisse berücksichtigen. </w:t>
      </w:r>
    </w:p>
    <w:p w14:paraId="72EDF310" w14:textId="60E58317" w:rsidR="0098101B" w:rsidRPr="00845C16" w:rsidRDefault="0098101B" w:rsidP="0098101B">
      <w:pPr>
        <w:rPr>
          <w:rFonts w:ascii="Franklin Gothic Book" w:hAnsi="Franklin Gothic Book"/>
        </w:rPr>
      </w:pPr>
      <w:r w:rsidRPr="235FA5C0">
        <w:rPr>
          <w:rFonts w:ascii="Franklin Gothic Book" w:hAnsi="Franklin Gothic Book"/>
        </w:rPr>
        <w:t xml:space="preserve">Um die Covid-19-Krise abzufedern, erhielt die Kultur- und Kreativwirtschaft in Deutschland </w:t>
      </w:r>
      <w:r w:rsidR="00A779AA" w:rsidRPr="235FA5C0">
        <w:rPr>
          <w:rFonts w:ascii="Franklin Gothic Book" w:hAnsi="Franklin Gothic Book"/>
        </w:rPr>
        <w:t>bereits</w:t>
      </w:r>
      <w:r w:rsidRPr="235FA5C0">
        <w:rPr>
          <w:rFonts w:ascii="Franklin Gothic Book" w:hAnsi="Franklin Gothic Book"/>
        </w:rPr>
        <w:t xml:space="preserve"> </w:t>
      </w:r>
      <w:r w:rsidR="20A025F9" w:rsidRPr="235FA5C0">
        <w:rPr>
          <w:rFonts w:ascii="Franklin Gothic Book" w:hAnsi="Franklin Gothic Book"/>
        </w:rPr>
        <w:t>umfassende</w:t>
      </w:r>
      <w:r w:rsidRPr="235FA5C0">
        <w:rPr>
          <w:rFonts w:ascii="Franklin Gothic Book" w:hAnsi="Franklin Gothic Book"/>
        </w:rPr>
        <w:t xml:space="preserve"> finanzielle Unterstützung über das Konjunkturprogramm des Bundeswirtschaftsministeriums und das Programm Neustart</w:t>
      </w:r>
      <w:r w:rsidR="008A60E1" w:rsidRPr="235FA5C0">
        <w:rPr>
          <w:rFonts w:ascii="Franklin Gothic Book" w:hAnsi="Franklin Gothic Book"/>
        </w:rPr>
        <w:t xml:space="preserve"> </w:t>
      </w:r>
      <w:r w:rsidRPr="235FA5C0">
        <w:rPr>
          <w:rFonts w:ascii="Franklin Gothic Book" w:hAnsi="Franklin Gothic Book"/>
        </w:rPr>
        <w:t>Kultur der Beauftragten für Kultur und Medien.</w:t>
      </w:r>
      <w:r w:rsidR="00582EE8" w:rsidRPr="235FA5C0">
        <w:rPr>
          <w:rFonts w:ascii="Franklin Gothic Book" w:hAnsi="Franklin Gothic Book"/>
        </w:rPr>
        <w:t xml:space="preserve"> Dafür danken wir der Bundesregierung ausdrücklich.</w:t>
      </w:r>
    </w:p>
    <w:p w14:paraId="3834AAC7" w14:textId="33E57C93" w:rsidR="00635AEE" w:rsidRPr="00845C16" w:rsidRDefault="00A779AA" w:rsidP="235FA5C0">
      <w:pPr>
        <w:rPr>
          <w:rFonts w:ascii="Franklin Gothic Book" w:hAnsi="Franklin Gothic Book"/>
        </w:rPr>
      </w:pPr>
      <w:r w:rsidRPr="235FA5C0">
        <w:rPr>
          <w:rFonts w:ascii="Franklin Gothic Book" w:hAnsi="Franklin Gothic Book"/>
        </w:rPr>
        <w:t xml:space="preserve">Es ist jedoch schon jetzt absehbar, dass weitere Unterstützung nötig sein wird. </w:t>
      </w:r>
      <w:r w:rsidR="008A60E1" w:rsidRPr="235FA5C0">
        <w:rPr>
          <w:rFonts w:ascii="Franklin Gothic Book" w:hAnsi="Franklin Gothic Book"/>
        </w:rPr>
        <w:t xml:space="preserve">Als Reaktion auf die </w:t>
      </w:r>
      <w:r w:rsidR="063BEF0B" w:rsidRPr="235FA5C0">
        <w:rPr>
          <w:rFonts w:ascii="Franklin Gothic Book" w:hAnsi="Franklin Gothic Book"/>
        </w:rPr>
        <w:t>p</w:t>
      </w:r>
      <w:r w:rsidR="008A60E1" w:rsidRPr="235FA5C0">
        <w:rPr>
          <w:rFonts w:ascii="Franklin Gothic Book" w:hAnsi="Franklin Gothic Book"/>
        </w:rPr>
        <w:t xml:space="preserve">andemiebedingten wirtschaftlichen Einbußen aktiviert die EU zusätzliche finanzielle Hilfen über </w:t>
      </w:r>
      <w:r w:rsidR="008A60E1" w:rsidRPr="235FA5C0">
        <w:rPr>
          <w:rFonts w:ascii="Franklin Gothic Book" w:hAnsi="Franklin Gothic Book"/>
          <w:b/>
          <w:bCs/>
        </w:rPr>
        <w:t>Next</w:t>
      </w:r>
      <w:r w:rsidR="000E6B3D">
        <w:rPr>
          <w:rFonts w:ascii="Franklin Gothic Book" w:hAnsi="Franklin Gothic Book"/>
          <w:b/>
          <w:bCs/>
        </w:rPr>
        <w:t xml:space="preserve"> </w:t>
      </w:r>
      <w:r w:rsidR="008A60E1" w:rsidRPr="235FA5C0">
        <w:rPr>
          <w:rFonts w:ascii="Franklin Gothic Book" w:hAnsi="Franklin Gothic Book"/>
          <w:b/>
          <w:bCs/>
        </w:rPr>
        <w:t>Generation</w:t>
      </w:r>
      <w:r w:rsidR="000E6B3D">
        <w:rPr>
          <w:rFonts w:ascii="Franklin Gothic Book" w:hAnsi="Franklin Gothic Book"/>
          <w:b/>
          <w:bCs/>
        </w:rPr>
        <w:t xml:space="preserve"> </w:t>
      </w:r>
      <w:r w:rsidR="008A60E1" w:rsidRPr="235FA5C0">
        <w:rPr>
          <w:rFonts w:ascii="Franklin Gothic Book" w:hAnsi="Franklin Gothic Book"/>
          <w:b/>
          <w:bCs/>
        </w:rPr>
        <w:t>EU</w:t>
      </w:r>
      <w:r w:rsidR="008A60E1" w:rsidRPr="235FA5C0">
        <w:rPr>
          <w:rFonts w:ascii="Franklin Gothic Book" w:hAnsi="Franklin Gothic Book"/>
        </w:rPr>
        <w:t xml:space="preserve">, den europäischen Aufbauplan. </w:t>
      </w:r>
      <w:r w:rsidR="0098101B" w:rsidRPr="235FA5C0">
        <w:rPr>
          <w:rFonts w:ascii="Franklin Gothic Book" w:hAnsi="Franklin Gothic Book"/>
        </w:rPr>
        <w:t xml:space="preserve">Das Europäische Parlament hat in seiner Entschließung vom 17. September 2020 gefordert, dass 2% der europäischen Recovery and </w:t>
      </w:r>
      <w:proofErr w:type="spellStart"/>
      <w:r w:rsidR="0098101B" w:rsidRPr="235FA5C0">
        <w:rPr>
          <w:rFonts w:ascii="Franklin Gothic Book" w:hAnsi="Franklin Gothic Book"/>
        </w:rPr>
        <w:t>Resilience</w:t>
      </w:r>
      <w:proofErr w:type="spellEnd"/>
      <w:r w:rsidR="0098101B" w:rsidRPr="235FA5C0">
        <w:rPr>
          <w:rFonts w:ascii="Franklin Gothic Book" w:hAnsi="Franklin Gothic Book"/>
        </w:rPr>
        <w:t xml:space="preserve"> Facility dem Kultur- und Kreativsektor zugutekommen soll.  </w:t>
      </w:r>
      <w:r w:rsidR="008D650B" w:rsidRPr="235FA5C0">
        <w:rPr>
          <w:rFonts w:ascii="Franklin Gothic Book" w:hAnsi="Franklin Gothic Book"/>
        </w:rPr>
        <w:t xml:space="preserve">Auch im Zusammenhang mit der Diskussion um eine </w:t>
      </w:r>
      <w:r w:rsidR="00DD11FC" w:rsidRPr="235FA5C0">
        <w:rPr>
          <w:rFonts w:ascii="Franklin Gothic Book" w:hAnsi="Franklin Gothic Book"/>
        </w:rPr>
        <w:t>neue</w:t>
      </w:r>
      <w:r w:rsidR="009939C6" w:rsidRPr="235FA5C0">
        <w:rPr>
          <w:rFonts w:ascii="Franklin Gothic Book" w:hAnsi="Franklin Gothic Book"/>
        </w:rPr>
        <w:t xml:space="preserve"> </w:t>
      </w:r>
      <w:r w:rsidR="00DD11FC" w:rsidRPr="235FA5C0">
        <w:rPr>
          <w:rFonts w:ascii="Franklin Gothic Book" w:hAnsi="Franklin Gothic Book"/>
        </w:rPr>
        <w:t>Stra</w:t>
      </w:r>
      <w:r w:rsidR="00DD11FC" w:rsidRPr="235FA5C0">
        <w:rPr>
          <w:rFonts w:ascii="Franklin Gothic Book" w:hAnsi="Franklin Gothic Book"/>
        </w:rPr>
        <w:lastRenderedPageBreak/>
        <w:t xml:space="preserve">tegie für europäische KMUs plädieren der Binnenmarkt- und Kulturausschuss </w:t>
      </w:r>
      <w:r w:rsidR="00053C50" w:rsidRPr="235FA5C0">
        <w:rPr>
          <w:rFonts w:ascii="Franklin Gothic Book" w:hAnsi="Franklin Gothic Book"/>
        </w:rPr>
        <w:t xml:space="preserve">des Europäischen Parlaments </w:t>
      </w:r>
      <w:r w:rsidR="00DD11FC" w:rsidRPr="235FA5C0">
        <w:rPr>
          <w:rFonts w:ascii="Franklin Gothic Book" w:hAnsi="Franklin Gothic Book"/>
        </w:rPr>
        <w:t xml:space="preserve">dafür, die Kultur- und Kreativwirtschaft insgesamt in den </w:t>
      </w:r>
      <w:r w:rsidR="00DD11FC" w:rsidRPr="235FA5C0">
        <w:rPr>
          <w:rFonts w:ascii="Franklin Gothic Book" w:hAnsi="Franklin Gothic Book"/>
          <w:b/>
          <w:bCs/>
        </w:rPr>
        <w:t>M</w:t>
      </w:r>
      <w:r w:rsidR="00750DBC" w:rsidRPr="235FA5C0">
        <w:rPr>
          <w:rFonts w:ascii="Franklin Gothic Book" w:hAnsi="Franklin Gothic Book"/>
          <w:b/>
          <w:bCs/>
        </w:rPr>
        <w:t>ehrjährigen Finanzrahmen (M</w:t>
      </w:r>
      <w:r w:rsidR="00DD11FC" w:rsidRPr="235FA5C0">
        <w:rPr>
          <w:rFonts w:ascii="Franklin Gothic Book" w:hAnsi="Franklin Gothic Book"/>
          <w:b/>
          <w:bCs/>
        </w:rPr>
        <w:t>FF</w:t>
      </w:r>
      <w:r w:rsidR="00750DBC" w:rsidRPr="235FA5C0">
        <w:rPr>
          <w:rFonts w:ascii="Franklin Gothic Book" w:hAnsi="Franklin Gothic Book"/>
          <w:b/>
          <w:bCs/>
        </w:rPr>
        <w:t>)</w:t>
      </w:r>
      <w:r w:rsidR="00DD11FC" w:rsidRPr="235FA5C0">
        <w:rPr>
          <w:rFonts w:ascii="Franklin Gothic Book" w:hAnsi="Franklin Gothic Book"/>
          <w:b/>
          <w:bCs/>
        </w:rPr>
        <w:t xml:space="preserve"> und die Kohäsionspolitik</w:t>
      </w:r>
      <w:r w:rsidR="00DD11FC" w:rsidRPr="235FA5C0">
        <w:rPr>
          <w:rFonts w:ascii="Franklin Gothic Book" w:hAnsi="Franklin Gothic Book"/>
        </w:rPr>
        <w:t xml:space="preserve"> aufzunehmen.</w:t>
      </w:r>
      <w:r w:rsidR="00081B2F" w:rsidRPr="235FA5C0">
        <w:rPr>
          <w:rFonts w:ascii="Franklin Gothic Book" w:hAnsi="Franklin Gothic Book"/>
        </w:rPr>
        <w:t xml:space="preserve"> </w:t>
      </w:r>
      <w:r w:rsidR="118FE728" w:rsidRPr="235FA5C0">
        <w:rPr>
          <w:rFonts w:ascii="Franklin Gothic Book" w:hAnsi="Franklin Gothic Book"/>
        </w:rPr>
        <w:t xml:space="preserve">Diese Forderung ist </w:t>
      </w:r>
      <w:r w:rsidR="000E6B3D">
        <w:rPr>
          <w:rFonts w:ascii="Franklin Gothic Book" w:hAnsi="Franklin Gothic Book"/>
        </w:rPr>
        <w:t xml:space="preserve">im </w:t>
      </w:r>
      <w:r w:rsidR="118FE728" w:rsidRPr="235FA5C0">
        <w:rPr>
          <w:rFonts w:ascii="Franklin Gothic Book" w:hAnsi="Franklin Gothic Book"/>
        </w:rPr>
        <w:t>Interesse aller in der Kultur- und Kreativwirtschaft tätigen Unternehmen,</w:t>
      </w:r>
      <w:r w:rsidR="52B510A9" w:rsidRPr="235FA5C0">
        <w:rPr>
          <w:rFonts w:ascii="Franklin Gothic Book" w:hAnsi="Franklin Gothic Book"/>
        </w:rPr>
        <w:t xml:space="preserve"> Arbeitnehmer*innen und Selbständigen</w:t>
      </w:r>
      <w:r w:rsidR="000E6B3D">
        <w:rPr>
          <w:rFonts w:ascii="Franklin Gothic Book" w:hAnsi="Franklin Gothic Book"/>
        </w:rPr>
        <w:t>.</w:t>
      </w:r>
    </w:p>
    <w:p w14:paraId="294910C4" w14:textId="5E8F264A" w:rsidR="00635AEE" w:rsidRPr="00845C16" w:rsidRDefault="00A779AA" w:rsidP="001E71B2">
      <w:pPr>
        <w:rPr>
          <w:rFonts w:ascii="Franklin Gothic Book" w:hAnsi="Franklin Gothic Book"/>
          <w:b/>
          <w:bCs/>
        </w:rPr>
      </w:pPr>
      <w:r w:rsidRPr="00845C16">
        <w:rPr>
          <w:rFonts w:ascii="Franklin Gothic Book" w:hAnsi="Franklin Gothic Book"/>
          <w:b/>
          <w:bCs/>
        </w:rPr>
        <w:t>D</w:t>
      </w:r>
      <w:r w:rsidR="00635AEE" w:rsidRPr="00845C16">
        <w:rPr>
          <w:rFonts w:ascii="Franklin Gothic Book" w:hAnsi="Franklin Gothic Book"/>
          <w:b/>
          <w:bCs/>
        </w:rPr>
        <w:t xml:space="preserve">ie Kultur- und Kreativwirtschaft </w:t>
      </w:r>
      <w:r w:rsidRPr="00845C16">
        <w:rPr>
          <w:rFonts w:ascii="Franklin Gothic Book" w:hAnsi="Franklin Gothic Book"/>
          <w:b/>
          <w:bCs/>
        </w:rPr>
        <w:t>ist ein wichtiger</w:t>
      </w:r>
      <w:r w:rsidR="00635AEE" w:rsidRPr="00845C16">
        <w:rPr>
          <w:rFonts w:ascii="Franklin Gothic Book" w:hAnsi="Franklin Gothic Book"/>
          <w:b/>
          <w:bCs/>
        </w:rPr>
        <w:t xml:space="preserve"> Motor für </w:t>
      </w:r>
      <w:r w:rsidR="00E2083B" w:rsidRPr="00845C16">
        <w:rPr>
          <w:rFonts w:ascii="Franklin Gothic Book" w:hAnsi="Franklin Gothic Book"/>
          <w:b/>
          <w:bCs/>
        </w:rPr>
        <w:t xml:space="preserve">die </w:t>
      </w:r>
      <w:r w:rsidR="00635AEE" w:rsidRPr="00845C16">
        <w:rPr>
          <w:rFonts w:ascii="Franklin Gothic Book" w:hAnsi="Franklin Gothic Book"/>
          <w:b/>
          <w:bCs/>
        </w:rPr>
        <w:t>Erholung der Gesamtwirtschaft</w:t>
      </w:r>
      <w:r w:rsidRPr="00845C16">
        <w:rPr>
          <w:rFonts w:ascii="Franklin Gothic Book" w:hAnsi="Franklin Gothic Book"/>
          <w:b/>
          <w:bCs/>
        </w:rPr>
        <w:t xml:space="preserve">. Wir rufen daher dazu auf, die Kultur- und Kreativwirtschaft </w:t>
      </w:r>
      <w:r w:rsidR="00635AEE" w:rsidRPr="00845C16">
        <w:rPr>
          <w:rFonts w:ascii="Franklin Gothic Book" w:hAnsi="Franklin Gothic Book"/>
          <w:b/>
          <w:bCs/>
        </w:rPr>
        <w:t xml:space="preserve">bei den Verhandlungen </w:t>
      </w:r>
      <w:r w:rsidR="00872625" w:rsidRPr="00845C16">
        <w:rPr>
          <w:rFonts w:ascii="Franklin Gothic Book" w:hAnsi="Franklin Gothic Book"/>
          <w:b/>
          <w:bCs/>
        </w:rPr>
        <w:t>von Next</w:t>
      </w:r>
      <w:r w:rsidR="000E6B3D">
        <w:rPr>
          <w:rFonts w:ascii="Franklin Gothic Book" w:hAnsi="Franklin Gothic Book"/>
          <w:b/>
          <w:bCs/>
        </w:rPr>
        <w:t xml:space="preserve"> </w:t>
      </w:r>
      <w:r w:rsidR="00872625" w:rsidRPr="00845C16">
        <w:rPr>
          <w:rFonts w:ascii="Franklin Gothic Book" w:hAnsi="Franklin Gothic Book"/>
          <w:b/>
          <w:bCs/>
        </w:rPr>
        <w:t>Generation</w:t>
      </w:r>
      <w:r w:rsidR="000E6B3D">
        <w:rPr>
          <w:rFonts w:ascii="Franklin Gothic Book" w:hAnsi="Franklin Gothic Book"/>
          <w:b/>
          <w:bCs/>
        </w:rPr>
        <w:t xml:space="preserve"> </w:t>
      </w:r>
      <w:r w:rsidR="00872625" w:rsidRPr="00845C16">
        <w:rPr>
          <w:rFonts w:ascii="Franklin Gothic Book" w:hAnsi="Franklin Gothic Book"/>
          <w:b/>
          <w:bCs/>
        </w:rPr>
        <w:t xml:space="preserve">EU und </w:t>
      </w:r>
      <w:r w:rsidR="009C2271" w:rsidRPr="00845C16">
        <w:rPr>
          <w:rFonts w:ascii="Franklin Gothic Book" w:hAnsi="Franklin Gothic Book"/>
          <w:b/>
          <w:bCs/>
        </w:rPr>
        <w:t xml:space="preserve">bei den </w:t>
      </w:r>
      <w:r w:rsidR="00635AEE" w:rsidRPr="00845C16">
        <w:rPr>
          <w:rFonts w:ascii="Franklin Gothic Book" w:hAnsi="Franklin Gothic Book"/>
          <w:b/>
          <w:bCs/>
        </w:rPr>
        <w:t>EU-</w:t>
      </w:r>
      <w:r w:rsidR="00FE3ABF" w:rsidRPr="00845C16">
        <w:rPr>
          <w:rFonts w:ascii="Franklin Gothic Book" w:hAnsi="Franklin Gothic Book"/>
          <w:b/>
          <w:bCs/>
        </w:rPr>
        <w:t>Förder</w:t>
      </w:r>
      <w:r w:rsidR="00635AEE" w:rsidRPr="00845C16">
        <w:rPr>
          <w:rFonts w:ascii="Franklin Gothic Book" w:hAnsi="Franklin Gothic Book"/>
          <w:b/>
          <w:bCs/>
        </w:rPr>
        <w:t>programme</w:t>
      </w:r>
      <w:r w:rsidR="009C2271" w:rsidRPr="00845C16">
        <w:rPr>
          <w:rFonts w:ascii="Franklin Gothic Book" w:hAnsi="Franklin Gothic Book"/>
          <w:b/>
          <w:bCs/>
        </w:rPr>
        <w:t>n des MFF</w:t>
      </w:r>
      <w:r w:rsidR="00635AEE" w:rsidRPr="00845C16">
        <w:rPr>
          <w:rFonts w:ascii="Franklin Gothic Book" w:hAnsi="Franklin Gothic Book"/>
          <w:b/>
          <w:bCs/>
        </w:rPr>
        <w:t xml:space="preserve">, insbesondere bei </w:t>
      </w:r>
      <w:proofErr w:type="spellStart"/>
      <w:r w:rsidR="00635AEE" w:rsidRPr="00845C16">
        <w:rPr>
          <w:rFonts w:ascii="Franklin Gothic Book" w:hAnsi="Franklin Gothic Book"/>
          <w:b/>
          <w:bCs/>
        </w:rPr>
        <w:t>InvestEU</w:t>
      </w:r>
      <w:proofErr w:type="spellEnd"/>
      <w:r w:rsidR="00FE3ABF" w:rsidRPr="00845C16">
        <w:rPr>
          <w:rFonts w:ascii="Franklin Gothic Book" w:hAnsi="Franklin Gothic Book"/>
          <w:b/>
          <w:bCs/>
        </w:rPr>
        <w:t xml:space="preserve">, </w:t>
      </w:r>
      <w:proofErr w:type="spellStart"/>
      <w:r w:rsidR="00FE3ABF" w:rsidRPr="00845C16">
        <w:rPr>
          <w:rFonts w:ascii="Franklin Gothic Book" w:hAnsi="Franklin Gothic Book"/>
          <w:b/>
          <w:bCs/>
        </w:rPr>
        <w:t>DigitalEU</w:t>
      </w:r>
      <w:proofErr w:type="spellEnd"/>
      <w:r w:rsidR="00FE3ABF" w:rsidRPr="00845C16">
        <w:rPr>
          <w:rFonts w:ascii="Franklin Gothic Book" w:hAnsi="Franklin Gothic Book"/>
          <w:b/>
          <w:bCs/>
        </w:rPr>
        <w:t xml:space="preserve">, </w:t>
      </w:r>
      <w:proofErr w:type="spellStart"/>
      <w:r w:rsidR="00FE3ABF" w:rsidRPr="00845C16">
        <w:rPr>
          <w:rFonts w:ascii="Franklin Gothic Book" w:hAnsi="Franklin Gothic Book"/>
          <w:b/>
          <w:bCs/>
        </w:rPr>
        <w:t>CreativeEurope</w:t>
      </w:r>
      <w:proofErr w:type="spellEnd"/>
      <w:r w:rsidR="00E2083B" w:rsidRPr="00845C16">
        <w:rPr>
          <w:rFonts w:ascii="Franklin Gothic Book" w:hAnsi="Franklin Gothic Book"/>
          <w:b/>
          <w:bCs/>
        </w:rPr>
        <w:t xml:space="preserve">, </w:t>
      </w:r>
      <w:proofErr w:type="spellStart"/>
      <w:r w:rsidR="00E2083B" w:rsidRPr="00845C16">
        <w:rPr>
          <w:rFonts w:ascii="Franklin Gothic Book" w:hAnsi="Franklin Gothic Book"/>
          <w:b/>
          <w:bCs/>
        </w:rPr>
        <w:t>HorizonEurope</w:t>
      </w:r>
      <w:proofErr w:type="spellEnd"/>
      <w:r w:rsidR="00FE3ABF" w:rsidRPr="00845C16">
        <w:rPr>
          <w:rFonts w:ascii="Franklin Gothic Book" w:hAnsi="Franklin Gothic Book"/>
          <w:b/>
          <w:bCs/>
        </w:rPr>
        <w:t xml:space="preserve"> sowie </w:t>
      </w:r>
      <w:r w:rsidR="009C2271" w:rsidRPr="00845C16">
        <w:rPr>
          <w:rFonts w:ascii="Franklin Gothic Book" w:hAnsi="Franklin Gothic Book"/>
          <w:b/>
          <w:bCs/>
        </w:rPr>
        <w:t xml:space="preserve">bei </w:t>
      </w:r>
      <w:r w:rsidR="00FE3ABF" w:rsidRPr="00845C16">
        <w:rPr>
          <w:rFonts w:ascii="Franklin Gothic Book" w:hAnsi="Franklin Gothic Book"/>
          <w:b/>
          <w:bCs/>
        </w:rPr>
        <w:t xml:space="preserve">den </w:t>
      </w:r>
      <w:r w:rsidR="00E2083B" w:rsidRPr="00845C16">
        <w:rPr>
          <w:rFonts w:ascii="Franklin Gothic Book" w:hAnsi="Franklin Gothic Book"/>
          <w:b/>
          <w:bCs/>
        </w:rPr>
        <w:t xml:space="preserve">nationalen </w:t>
      </w:r>
      <w:r w:rsidR="00582EE8" w:rsidRPr="00845C16">
        <w:rPr>
          <w:rFonts w:ascii="Franklin Gothic Book" w:hAnsi="Franklin Gothic Book"/>
          <w:b/>
          <w:bCs/>
        </w:rPr>
        <w:t>Aufbauplänen</w:t>
      </w:r>
      <w:r w:rsidR="00872625" w:rsidRPr="00845C16">
        <w:rPr>
          <w:rFonts w:ascii="Franklin Gothic Book" w:hAnsi="Franklin Gothic Book"/>
          <w:b/>
          <w:bCs/>
        </w:rPr>
        <w:t xml:space="preserve"> und </w:t>
      </w:r>
      <w:r w:rsidR="00FE3ABF" w:rsidRPr="00845C16">
        <w:rPr>
          <w:rFonts w:ascii="Franklin Gothic Book" w:hAnsi="Franklin Gothic Book"/>
          <w:b/>
          <w:bCs/>
        </w:rPr>
        <w:t>Struktur- und Kohäsionsfonds</w:t>
      </w:r>
      <w:r w:rsidRPr="00845C16">
        <w:rPr>
          <w:rFonts w:ascii="Franklin Gothic Book" w:hAnsi="Franklin Gothic Book"/>
          <w:b/>
          <w:bCs/>
        </w:rPr>
        <w:t xml:space="preserve"> jeweils</w:t>
      </w:r>
      <w:r w:rsidR="00635AEE" w:rsidRPr="00845C16">
        <w:rPr>
          <w:rFonts w:ascii="Franklin Gothic Book" w:hAnsi="Franklin Gothic Book"/>
          <w:b/>
          <w:bCs/>
        </w:rPr>
        <w:t xml:space="preserve"> entsprechend zu</w:t>
      </w:r>
      <w:r w:rsidR="00872625" w:rsidRPr="00845C16">
        <w:rPr>
          <w:rFonts w:ascii="Franklin Gothic Book" w:hAnsi="Franklin Gothic Book"/>
          <w:b/>
          <w:bCs/>
        </w:rPr>
        <w:t xml:space="preserve"> </w:t>
      </w:r>
      <w:r w:rsidR="00FA3012">
        <w:rPr>
          <w:rFonts w:ascii="Franklin Gothic Book" w:hAnsi="Franklin Gothic Book"/>
          <w:b/>
          <w:bCs/>
        </w:rPr>
        <w:t>berücksichtigen</w:t>
      </w:r>
      <w:r w:rsidR="00635AEE" w:rsidRPr="00845C16">
        <w:rPr>
          <w:rFonts w:ascii="Franklin Gothic Book" w:hAnsi="Franklin Gothic Book"/>
          <w:b/>
          <w:bCs/>
        </w:rPr>
        <w:t>.</w:t>
      </w:r>
    </w:p>
    <w:p w14:paraId="2DB8CF16" w14:textId="77777777" w:rsidR="00872625" w:rsidRDefault="00872625" w:rsidP="001E71B2">
      <w:pPr>
        <w:rPr>
          <w:rFonts w:ascii="Franklin Gothic Book" w:hAnsi="Franklin Gothic Book"/>
          <w:b/>
          <w:bCs/>
        </w:rPr>
      </w:pPr>
    </w:p>
    <w:p w14:paraId="70D69933" w14:textId="79DD20BC" w:rsidR="00DD11FC" w:rsidRPr="00323C82" w:rsidRDefault="00FA3012" w:rsidP="00C215DC">
      <w:pPr>
        <w:jc w:val="center"/>
        <w:rPr>
          <w:rFonts w:ascii="Franklin Gothic Book" w:hAnsi="Franklin Gothic Book"/>
          <w:b/>
          <w:bCs/>
        </w:rPr>
      </w:pPr>
      <w:r w:rsidRPr="00323C82">
        <w:rPr>
          <w:rFonts w:ascii="Franklin Gothic Book" w:hAnsi="Franklin Gothic Book"/>
          <w:b/>
          <w:bCs/>
        </w:rPr>
        <w:t>Liste der unterzeichnenden Verbände</w:t>
      </w:r>
    </w:p>
    <w:p w14:paraId="4D5830D5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 xml:space="preserve">Art </w:t>
      </w:r>
      <w:proofErr w:type="spellStart"/>
      <w:r>
        <w:t>Directors</w:t>
      </w:r>
      <w:proofErr w:type="spellEnd"/>
      <w:r>
        <w:t xml:space="preserve"> Club GmbH,</w:t>
      </w:r>
      <w:r w:rsidRPr="00E019F4">
        <w:t xml:space="preserve"> </w:t>
      </w:r>
      <w:r>
        <w:t>ADC</w:t>
      </w:r>
      <w:r>
        <w:tab/>
      </w:r>
    </w:p>
    <w:p w14:paraId="4B5640C2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>AG Kino - Gilde deutscher Filmkunsttheater e.V.</w:t>
      </w:r>
    </w:p>
    <w:p w14:paraId="46FF2319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>AG Verleih - Verband unabhängiger Filmverleiher e. V.</w:t>
      </w:r>
    </w:p>
    <w:p w14:paraId="44F26101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 xml:space="preserve">Allianz Deutscher Produzenten – Film &amp; Fernsehen e.V. </w:t>
      </w:r>
    </w:p>
    <w:p w14:paraId="218044EC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 xml:space="preserve">Berlin Music </w:t>
      </w:r>
      <w:proofErr w:type="spellStart"/>
      <w:r>
        <w:t>Commission</w:t>
      </w:r>
      <w:proofErr w:type="spellEnd"/>
      <w:r>
        <w:t xml:space="preserve"> eG,</w:t>
      </w:r>
      <w:r w:rsidRPr="00E019F4">
        <w:t xml:space="preserve"> </w:t>
      </w:r>
      <w:r>
        <w:t>BMC</w:t>
      </w:r>
    </w:p>
    <w:p w14:paraId="50E0D83E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>Börsenverein des Deutschen Buchhandels e.V.</w:t>
      </w:r>
    </w:p>
    <w:p w14:paraId="5CD49970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>Bundesverband der freien darstellenden Künste - BFDK</w:t>
      </w:r>
    </w:p>
    <w:p w14:paraId="630F5280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>Bundesverband der Konzert- und Veranstaltungswirtschaft e.V.,</w:t>
      </w:r>
      <w:r w:rsidRPr="00E019F4">
        <w:t xml:space="preserve"> </w:t>
      </w:r>
      <w:r>
        <w:t>BDKV</w:t>
      </w:r>
    </w:p>
    <w:p w14:paraId="5DDCD928" w14:textId="40C665A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>Bundesverband Deutscher Galerien und Kunsthändler e.V.,</w:t>
      </w:r>
      <w:r w:rsidRPr="00E019F4">
        <w:t xml:space="preserve"> </w:t>
      </w:r>
      <w:r>
        <w:t>BVDG</w:t>
      </w:r>
      <w:r>
        <w:tab/>
      </w:r>
    </w:p>
    <w:p w14:paraId="17A81370" w14:textId="77777777" w:rsidR="00403ECA" w:rsidRDefault="00403ECA" w:rsidP="00403ECA">
      <w:pPr>
        <w:pStyle w:val="Listenabsatz"/>
        <w:numPr>
          <w:ilvl w:val="0"/>
          <w:numId w:val="3"/>
        </w:numPr>
        <w:spacing w:after="0" w:line="240" w:lineRule="auto"/>
      </w:pPr>
      <w:r>
        <w:rPr>
          <w:rFonts w:ascii="Source Sans Pro" w:hAnsi="Source Sans Pro"/>
          <w:color w:val="333333"/>
          <w:shd w:val="clear" w:color="auto" w:fill="FFFFFF"/>
        </w:rPr>
        <w:t>Bundesverband Musikindustrie e.V.</w:t>
      </w:r>
      <w:r>
        <w:t>, BVMI</w:t>
      </w:r>
    </w:p>
    <w:p w14:paraId="7C83B981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>BV POP - Bundesverband Popularmusik e.V.</w:t>
      </w:r>
    </w:p>
    <w:p w14:paraId="2B33AECC" w14:textId="2F1A7AA3" w:rsidR="002E3EB2" w:rsidRDefault="002E3EB2" w:rsidP="00323C82">
      <w:pPr>
        <w:pStyle w:val="Listenabsatz"/>
        <w:numPr>
          <w:ilvl w:val="0"/>
          <w:numId w:val="3"/>
        </w:numPr>
        <w:spacing w:after="0" w:line="240" w:lineRule="auto"/>
      </w:pPr>
      <w:r w:rsidRPr="002E3EB2">
        <w:t xml:space="preserve">CEPIC – </w:t>
      </w:r>
      <w:proofErr w:type="spellStart"/>
      <w:r w:rsidRPr="002E3EB2">
        <w:t>Centre</w:t>
      </w:r>
      <w:proofErr w:type="spellEnd"/>
      <w:r w:rsidRPr="002E3EB2">
        <w:t xml:space="preserve"> </w:t>
      </w:r>
      <w:proofErr w:type="spellStart"/>
      <w:r w:rsidRPr="002E3EB2">
        <w:t>of</w:t>
      </w:r>
      <w:proofErr w:type="spellEnd"/>
      <w:r w:rsidRPr="002E3EB2">
        <w:t xml:space="preserve"> </w:t>
      </w:r>
      <w:proofErr w:type="spellStart"/>
      <w:r w:rsidRPr="002E3EB2">
        <w:t>the</w:t>
      </w:r>
      <w:proofErr w:type="spellEnd"/>
      <w:r w:rsidRPr="002E3EB2">
        <w:t xml:space="preserve"> Picture Industry</w:t>
      </w:r>
    </w:p>
    <w:p w14:paraId="6470923B" w14:textId="6F8DBA5F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>Deutscher Designtag e.V.</w:t>
      </w:r>
    </w:p>
    <w:p w14:paraId="4DA6D1C0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 xml:space="preserve">Deutscher Kulturrat </w:t>
      </w:r>
    </w:p>
    <w:p w14:paraId="13C9974F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>Deutscher Musikverleger-Verband e.V., DMV</w:t>
      </w:r>
    </w:p>
    <w:p w14:paraId="37BE5C09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>Europäischer Verband der Veranstaltungs-Centren e.V., EVVC</w:t>
      </w:r>
    </w:p>
    <w:p w14:paraId="1CDD90CD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>FASHION COUNCIL GERMANY e.V., FCG</w:t>
      </w:r>
      <w:r>
        <w:tab/>
      </w:r>
    </w:p>
    <w:p w14:paraId="7B08BF8B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>GEMA,</w:t>
      </w:r>
      <w:r>
        <w:tab/>
        <w:t xml:space="preserve">Gesellschaft für musikalische Aufführungs- und mechanische Vervielfältigungsrechte </w:t>
      </w:r>
    </w:p>
    <w:p w14:paraId="19A924BF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>Gesamtverband Kommunikationsagenturen GWA e.V</w:t>
      </w:r>
    </w:p>
    <w:p w14:paraId="08F36092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>Gesellschaft zur Verwertung von Leistungsschutzrechten mbH, GVL</w:t>
      </w:r>
    </w:p>
    <w:p w14:paraId="7BCC88D1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>HDF KINO e.V.</w:t>
      </w:r>
    </w:p>
    <w:p w14:paraId="70A9BA93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>Interessengemeinschaft Veranstaltungswirtschaft e.V., IGVW</w:t>
      </w:r>
      <w:r>
        <w:tab/>
      </w:r>
    </w:p>
    <w:p w14:paraId="3A6794F6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proofErr w:type="spellStart"/>
      <w:r>
        <w:t>LiveMusikKommission</w:t>
      </w:r>
      <w:proofErr w:type="spellEnd"/>
      <w:r>
        <w:t xml:space="preserve"> e.V., LiveKomm</w:t>
      </w:r>
    </w:p>
    <w:p w14:paraId="32CA6913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>Music Women Germany</w:t>
      </w:r>
    </w:p>
    <w:p w14:paraId="1A2DD13A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>Produzentenverband e.V.</w:t>
      </w:r>
    </w:p>
    <w:p w14:paraId="6AC050F2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 xml:space="preserve">SOMM - Society </w:t>
      </w:r>
      <w:proofErr w:type="spellStart"/>
      <w:r>
        <w:t>Of</w:t>
      </w:r>
      <w:proofErr w:type="spellEnd"/>
      <w:r>
        <w:t xml:space="preserve"> Music Merchants e. V.</w:t>
      </w:r>
    </w:p>
    <w:p w14:paraId="6EEE3A90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 xml:space="preserve">SPIO, Spitzenorganisation der Filmwirtschaft e.V. </w:t>
      </w:r>
    </w:p>
    <w:p w14:paraId="4449A0AC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 xml:space="preserve">VAUNET - Verband Privater Medien e.V. </w:t>
      </w:r>
    </w:p>
    <w:p w14:paraId="57A5B1C9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>Verband Technischer Betriebe für Film und Fernsehen e.V.,</w:t>
      </w:r>
      <w:r w:rsidRPr="00E019F4">
        <w:t xml:space="preserve"> </w:t>
      </w:r>
      <w:r>
        <w:t>VTFF</w:t>
      </w:r>
      <w:r>
        <w:tab/>
      </w:r>
    </w:p>
    <w:p w14:paraId="0AA25AEB" w14:textId="77777777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>Verein Berliner Modedesigner (VBM) e.V., VBM,</w:t>
      </w:r>
      <w:r>
        <w:tab/>
      </w:r>
    </w:p>
    <w:p w14:paraId="11869642" w14:textId="0DC30CBD" w:rsidR="00323C82" w:rsidRDefault="00323C82" w:rsidP="00323C82">
      <w:pPr>
        <w:pStyle w:val="Listenabsatz"/>
        <w:numPr>
          <w:ilvl w:val="0"/>
          <w:numId w:val="3"/>
        </w:numPr>
        <w:spacing w:after="0" w:line="240" w:lineRule="auto"/>
      </w:pPr>
      <w:r>
        <w:t>VUT - Verband unabhängiger Musikunternehmer*innen e.V.</w:t>
      </w:r>
    </w:p>
    <w:p w14:paraId="0CC21EED" w14:textId="5C6A9103" w:rsidR="009B1307" w:rsidRDefault="009B1307" w:rsidP="00F761A1">
      <w:pPr>
        <w:pStyle w:val="Listenabsatz"/>
        <w:numPr>
          <w:ilvl w:val="0"/>
          <w:numId w:val="3"/>
        </w:numPr>
        <w:rPr>
          <w:lang w:eastAsia="de-DE"/>
        </w:rPr>
      </w:pPr>
      <w:r>
        <w:rPr>
          <w:lang w:eastAsia="de-DE"/>
        </w:rPr>
        <w:t>Zentralverband der deutschen Werbewirtschaft e.V.</w:t>
      </w:r>
      <w:r w:rsidR="001A26BB">
        <w:rPr>
          <w:lang w:eastAsia="de-DE"/>
        </w:rPr>
        <w:t xml:space="preserve">, </w:t>
      </w:r>
      <w:r>
        <w:rPr>
          <w:lang w:eastAsia="de-DE"/>
        </w:rPr>
        <w:t>ZAW</w:t>
      </w:r>
    </w:p>
    <w:p w14:paraId="733F0DE2" w14:textId="77777777" w:rsidR="00323C82" w:rsidRPr="00B32B61" w:rsidRDefault="00323C82" w:rsidP="00323C82">
      <w:pPr>
        <w:spacing w:after="0" w:line="240" w:lineRule="auto"/>
        <w:rPr>
          <w:rFonts w:cstheme="minorHAnsi"/>
        </w:rPr>
      </w:pPr>
    </w:p>
    <w:p w14:paraId="66959C7E" w14:textId="77777777" w:rsidR="00635AEE" w:rsidRDefault="00635AEE" w:rsidP="001E71B2"/>
    <w:sectPr w:rsidR="00635AEE" w:rsidSect="0097508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A7AB3" w14:textId="77777777" w:rsidR="00D45561" w:rsidRDefault="00D45561" w:rsidP="001E71B2">
      <w:pPr>
        <w:spacing w:after="0" w:line="240" w:lineRule="auto"/>
      </w:pPr>
      <w:r>
        <w:separator/>
      </w:r>
    </w:p>
  </w:endnote>
  <w:endnote w:type="continuationSeparator" w:id="0">
    <w:p w14:paraId="3CF84CB0" w14:textId="77777777" w:rsidR="00D45561" w:rsidRDefault="00D45561" w:rsidP="001E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AB288" w14:textId="77777777" w:rsidR="00D45561" w:rsidRDefault="00D45561" w:rsidP="001E71B2">
      <w:pPr>
        <w:spacing w:after="0" w:line="240" w:lineRule="auto"/>
      </w:pPr>
      <w:r>
        <w:separator/>
      </w:r>
    </w:p>
  </w:footnote>
  <w:footnote w:type="continuationSeparator" w:id="0">
    <w:p w14:paraId="58BFE895" w14:textId="77777777" w:rsidR="00D45561" w:rsidRDefault="00D45561" w:rsidP="001E71B2">
      <w:pPr>
        <w:spacing w:after="0" w:line="240" w:lineRule="auto"/>
      </w:pPr>
      <w:r>
        <w:continuationSeparator/>
      </w:r>
    </w:p>
  </w:footnote>
  <w:footnote w:id="1">
    <w:p w14:paraId="5DC02080" w14:textId="77777777" w:rsidR="0009171D" w:rsidRPr="009B70C1" w:rsidRDefault="0009171D" w:rsidP="0009171D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9B70C1">
        <w:rPr>
          <w:lang w:val="en-GB"/>
        </w:rPr>
        <w:t xml:space="preserve"> EU-</w:t>
      </w:r>
      <w:proofErr w:type="spellStart"/>
      <w:r w:rsidRPr="009B70C1">
        <w:rPr>
          <w:lang w:val="en-GB"/>
        </w:rPr>
        <w:t>Kommission</w:t>
      </w:r>
      <w:proofErr w:type="spellEnd"/>
      <w:r w:rsidRPr="009B70C1">
        <w:rPr>
          <w:lang w:val="en-GB"/>
        </w:rPr>
        <w:t xml:space="preserve"> Impact assessment accompanying the Proposal for a Regulation establishing the </w:t>
      </w:r>
      <w:proofErr w:type="spellStart"/>
      <w:r w:rsidRPr="009B70C1">
        <w:rPr>
          <w:lang w:val="en-GB"/>
        </w:rPr>
        <w:t>InvestEU</w:t>
      </w:r>
      <w:proofErr w:type="spellEnd"/>
    </w:p>
    <w:p w14:paraId="2EABB1DB" w14:textId="383DDB3A" w:rsidR="0009171D" w:rsidRDefault="0009171D" w:rsidP="0009171D">
      <w:pPr>
        <w:pStyle w:val="Funotentext"/>
      </w:pPr>
      <w:r>
        <w:t>Programme, Ma</w:t>
      </w:r>
      <w:r w:rsidR="00DB3FD1">
        <w:t>i</w:t>
      </w:r>
      <w:r>
        <w:t xml:space="preserve"> 2018 : </w:t>
      </w:r>
      <w:hyperlink r:id="rId1" w:history="1">
        <w:r w:rsidRPr="003E279A">
          <w:rPr>
            <w:rStyle w:val="Hyperlink"/>
          </w:rPr>
          <w:t>https://ec.europa.eu/commission/sites/beta-political/files/budget-may2018-investeu-impact-assessment_en.pdf</w:t>
        </w:r>
      </w:hyperlink>
    </w:p>
  </w:footnote>
  <w:footnote w:id="2">
    <w:p w14:paraId="6A8665A3" w14:textId="5F007783" w:rsidR="00211FAF" w:rsidRDefault="00211FAF">
      <w:pPr>
        <w:pStyle w:val="Funotentext"/>
      </w:pPr>
      <w:r>
        <w:rPr>
          <w:rStyle w:val="Funotenzeichen"/>
        </w:rPr>
        <w:footnoteRef/>
      </w:r>
      <w:r>
        <w:t xml:space="preserve"> Monitoringbericht des Bundesministeriums für Wirtschaft und Energie 2019, S. 9-10: </w:t>
      </w:r>
      <w:hyperlink r:id="rId2" w:history="1">
        <w:r w:rsidRPr="006460BC">
          <w:rPr>
            <w:rStyle w:val="Hyperlink"/>
          </w:rPr>
          <w:t>https://www.kultur-kreativ-wirtschaft.de/KUK/Redaktion/DE/Publikationen/2019/monitoring-wirtschaftliche-eckdaten-kuk.pdf?__blob=publicationFile&amp;v=10</w:t>
        </w:r>
      </w:hyperlink>
      <w:r>
        <w:t xml:space="preserve"> </w:t>
      </w:r>
    </w:p>
  </w:footnote>
  <w:footnote w:id="3">
    <w:p w14:paraId="2F2CA485" w14:textId="0E62AF9D" w:rsidR="00613D8A" w:rsidRDefault="00613D8A" w:rsidP="00613D8A">
      <w:pPr>
        <w:pStyle w:val="Funotentext"/>
      </w:pPr>
      <w:r>
        <w:rPr>
          <w:rStyle w:val="Funotenzeichen"/>
        </w:rPr>
        <w:footnoteRef/>
      </w:r>
      <w:r>
        <w:t xml:space="preserve"> EU-KOM Mitteilung Der EU-Haushalt als Motor für den Europäischen Aufbauplan, Mai 2020: </w:t>
      </w:r>
      <w:hyperlink r:id="rId3" w:history="1">
        <w:r>
          <w:rPr>
            <w:rStyle w:val="Hyperlink"/>
          </w:rPr>
          <w:t>https://eur-lex.europa.eu/legal-content/DE/TXT/HTML/?uri=CELEX:52020DC0442&amp;from=EN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20A43"/>
    <w:multiLevelType w:val="hybridMultilevel"/>
    <w:tmpl w:val="E18C55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0543"/>
    <w:multiLevelType w:val="hybridMultilevel"/>
    <w:tmpl w:val="DC622E94"/>
    <w:lvl w:ilvl="0" w:tplc="6A2C7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D0F17"/>
    <w:multiLevelType w:val="hybridMultilevel"/>
    <w:tmpl w:val="34C4A1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B2"/>
    <w:rsid w:val="00010D29"/>
    <w:rsid w:val="00053C50"/>
    <w:rsid w:val="00081B2F"/>
    <w:rsid w:val="0009171D"/>
    <w:rsid w:val="000C0F5A"/>
    <w:rsid w:val="000E6B3D"/>
    <w:rsid w:val="000F029F"/>
    <w:rsid w:val="00107203"/>
    <w:rsid w:val="001A26BB"/>
    <w:rsid w:val="001B3110"/>
    <w:rsid w:val="001E71B2"/>
    <w:rsid w:val="00211FAF"/>
    <w:rsid w:val="002D6972"/>
    <w:rsid w:val="002E3EB2"/>
    <w:rsid w:val="00323C82"/>
    <w:rsid w:val="003C1FF6"/>
    <w:rsid w:val="00403ECA"/>
    <w:rsid w:val="004318D3"/>
    <w:rsid w:val="00582EE8"/>
    <w:rsid w:val="00583B0D"/>
    <w:rsid w:val="00613D8A"/>
    <w:rsid w:val="00635AEE"/>
    <w:rsid w:val="00650148"/>
    <w:rsid w:val="007024B6"/>
    <w:rsid w:val="00750DBC"/>
    <w:rsid w:val="008061EC"/>
    <w:rsid w:val="00845C16"/>
    <w:rsid w:val="00872625"/>
    <w:rsid w:val="008A60E1"/>
    <w:rsid w:val="008C6A9B"/>
    <w:rsid w:val="008D650B"/>
    <w:rsid w:val="008E171B"/>
    <w:rsid w:val="00900154"/>
    <w:rsid w:val="0097508D"/>
    <w:rsid w:val="0098101B"/>
    <w:rsid w:val="009939C6"/>
    <w:rsid w:val="00994591"/>
    <w:rsid w:val="009B1307"/>
    <w:rsid w:val="009B70C1"/>
    <w:rsid w:val="009C2271"/>
    <w:rsid w:val="009D2703"/>
    <w:rsid w:val="009F0F23"/>
    <w:rsid w:val="00A779AA"/>
    <w:rsid w:val="00B77098"/>
    <w:rsid w:val="00B978EE"/>
    <w:rsid w:val="00C215DC"/>
    <w:rsid w:val="00D45561"/>
    <w:rsid w:val="00DB3FD1"/>
    <w:rsid w:val="00DD11FC"/>
    <w:rsid w:val="00E2083B"/>
    <w:rsid w:val="00ED1301"/>
    <w:rsid w:val="00F60E43"/>
    <w:rsid w:val="00FA3012"/>
    <w:rsid w:val="00FE3ABF"/>
    <w:rsid w:val="031D76AC"/>
    <w:rsid w:val="063BEF0B"/>
    <w:rsid w:val="09A0E9EE"/>
    <w:rsid w:val="0F008852"/>
    <w:rsid w:val="118FE728"/>
    <w:rsid w:val="198B5FE6"/>
    <w:rsid w:val="20A025F9"/>
    <w:rsid w:val="235FA5C0"/>
    <w:rsid w:val="260E0A6D"/>
    <w:rsid w:val="283F6768"/>
    <w:rsid w:val="2FD3E89E"/>
    <w:rsid w:val="328E8894"/>
    <w:rsid w:val="35E9246E"/>
    <w:rsid w:val="378EC577"/>
    <w:rsid w:val="3816600D"/>
    <w:rsid w:val="39F5E5F1"/>
    <w:rsid w:val="3A8F17A4"/>
    <w:rsid w:val="3BBBF7B4"/>
    <w:rsid w:val="3F4AF288"/>
    <w:rsid w:val="42FD3369"/>
    <w:rsid w:val="445558F9"/>
    <w:rsid w:val="489C3D8E"/>
    <w:rsid w:val="52B510A9"/>
    <w:rsid w:val="595472CA"/>
    <w:rsid w:val="5A6201B8"/>
    <w:rsid w:val="5F8327DF"/>
    <w:rsid w:val="66A9B1B6"/>
    <w:rsid w:val="72135A51"/>
    <w:rsid w:val="7ED06C87"/>
    <w:rsid w:val="7F4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DC63"/>
  <w15:chartTrackingRefBased/>
  <w15:docId w15:val="{E4C267C6-4273-4622-B6CD-640E33BA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1E71B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E71B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E71B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13D8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13D8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13D8A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9171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810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10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101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10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101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101B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8D650B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11FA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A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8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DE/TXT/HTML/?uri=CELEX:52020DC0442&amp;from=EN" TargetMode="External"/><Relationship Id="rId2" Type="http://schemas.openxmlformats.org/officeDocument/2006/relationships/hyperlink" Target="https://www.kultur-kreativ-wirtschaft.de/KUK/Redaktion/DE/Publikationen/2019/monitoring-wirtschaftliche-eckdaten-kuk.pdf?__blob=publicationFile&amp;v=10" TargetMode="External"/><Relationship Id="rId1" Type="http://schemas.openxmlformats.org/officeDocument/2006/relationships/hyperlink" Target="https://ec.europa.eu/commission/sites/beta-political/files/budget-may2018-investeu-impact-assessment_en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5232BABA7E846B4DC9F269C6BF81F" ma:contentTypeVersion="4" ma:contentTypeDescription="Ein neues Dokument erstellen." ma:contentTypeScope="" ma:versionID="f9ac70410cd4e5a45771fa7502e72682">
  <xsd:schema xmlns:xsd="http://www.w3.org/2001/XMLSchema" xmlns:xs="http://www.w3.org/2001/XMLSchema" xmlns:p="http://schemas.microsoft.com/office/2006/metadata/properties" xmlns:ns2="99a7ded7-1a79-49d1-8609-4142c24a26e0" targetNamespace="http://schemas.microsoft.com/office/2006/metadata/properties" ma:root="true" ma:fieldsID="7d4aaa5cba0b3b4b94d45d882dffc583" ns2:_="">
    <xsd:import namespace="99a7ded7-1a79-49d1-8609-4142c24a26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7ded7-1a79-49d1-8609-4142c24a2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5DA22-485E-40CE-8180-67D4A0C76A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3B4CE-25E6-4467-8C4A-27C39BA8D2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A0E99A-C41B-40C4-8F1D-0D3C1A9659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D8DBB3-9D44-4016-9D19-DF3A1C544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7ded7-1a79-49d1-8609-4142c24a2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Maier-Hauff</dc:creator>
  <cp:keywords/>
  <dc:description/>
  <cp:lastModifiedBy>Julia Maier-Hauff</cp:lastModifiedBy>
  <cp:revision>7</cp:revision>
  <dcterms:created xsi:type="dcterms:W3CDTF">2020-10-28T11:06:00Z</dcterms:created>
  <dcterms:modified xsi:type="dcterms:W3CDTF">2020-10-28T17:22:00Z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0x01010062D5232BABA7E846B4DC9F269C6BF81F</vt:lpwstr>
  </property>
</Properties>
</file>